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847D" w14:textId="77777777" w:rsidR="00AB2842" w:rsidRPr="00F73A14" w:rsidRDefault="00AB2842" w:rsidP="00AB2842">
      <w:pPr>
        <w:keepNext/>
        <w:keepLines/>
        <w:spacing w:after="4" w:line="250" w:lineRule="auto"/>
        <w:jc w:val="center"/>
        <w:outlineLvl w:val="0"/>
        <w:rPr>
          <w:rFonts w:ascii="Verdana" w:eastAsia="Verdana" w:hAnsi="Verdana" w:cs="Verdana"/>
          <w:b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b/>
          <w:color w:val="000000"/>
          <w:sz w:val="20"/>
          <w:lang w:eastAsia="pl-PL"/>
        </w:rPr>
        <w:t>SYLABUS PRZEDMIOTU</w:t>
      </w:r>
    </w:p>
    <w:p w14:paraId="32489B3C" w14:textId="77777777" w:rsidR="00AB2842" w:rsidRPr="00F73A14" w:rsidRDefault="00AB2842" w:rsidP="00AB2842">
      <w:pPr>
        <w:spacing w:after="0"/>
        <w:ind w:left="567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tbl>
      <w:tblPr>
        <w:tblW w:w="9835" w:type="dxa"/>
        <w:tblCellMar>
          <w:top w:w="4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5288"/>
        <w:gridCol w:w="490"/>
        <w:gridCol w:w="3567"/>
      </w:tblGrid>
      <w:tr w:rsidR="00AB2842" w:rsidRPr="00F73A14" w14:paraId="5EDB54B5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0EF6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B5C0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Nazwa przedmiotu/modułu w języku polskim oraz angielskim </w:t>
            </w:r>
          </w:p>
          <w:p w14:paraId="22638468" w14:textId="76078B93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E40F2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Praktyki studenckie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/</w:t>
            </w:r>
            <w:r w:rsidR="00E40F2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Student </w:t>
            </w:r>
            <w:proofErr w:type="spellStart"/>
            <w:r w:rsidR="00E40F2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Internship</w:t>
            </w:r>
            <w:proofErr w:type="spellEnd"/>
          </w:p>
        </w:tc>
      </w:tr>
      <w:tr w:rsidR="00AB2842" w:rsidRPr="00F73A14" w14:paraId="5ADE3226" w14:textId="77777777" w:rsidTr="0095529B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D962C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2.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D778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Dyscyplina  </w:t>
            </w:r>
          </w:p>
          <w:p w14:paraId="16050D5C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Filozofia</w:t>
            </w:r>
          </w:p>
        </w:tc>
      </w:tr>
      <w:tr w:rsidR="00AB2842" w:rsidRPr="00F73A14" w14:paraId="2BC3C906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D0B2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3.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0FDED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Język wykładowy </w:t>
            </w:r>
          </w:p>
          <w:p w14:paraId="464A4EF4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Polski</w:t>
            </w:r>
          </w:p>
        </w:tc>
      </w:tr>
      <w:tr w:rsidR="00AB2842" w:rsidRPr="00F73A14" w14:paraId="6615D82E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B19E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4.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1A3FC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Jednostka prowadząca przedmiot </w:t>
            </w:r>
          </w:p>
          <w:p w14:paraId="00BCCD1F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Instytut Filozofii</w:t>
            </w:r>
          </w:p>
        </w:tc>
      </w:tr>
      <w:tr w:rsidR="00AB2842" w:rsidRPr="00F73A14" w14:paraId="2FC53801" w14:textId="77777777" w:rsidTr="0095529B">
        <w:trPr>
          <w:trHeight w:val="494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4635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5.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6154" w14:textId="1D7B039D" w:rsidR="00AB2842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Kod przedmiotu/modułu </w:t>
            </w:r>
          </w:p>
          <w:p w14:paraId="3897B9F2" w14:textId="7EF1EF5D" w:rsidR="00AB2842" w:rsidRPr="00F73A14" w:rsidRDefault="000F0825" w:rsidP="000F0825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 </w:t>
            </w:r>
            <w:r w:rsidRPr="000F0825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26-FF-SRDM-s2-e3-P</w:t>
            </w:r>
          </w:p>
        </w:tc>
      </w:tr>
      <w:tr w:rsidR="00AB2842" w:rsidRPr="00F73A14" w14:paraId="170C2E89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55F4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6.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5871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Rodzaj przedmiotu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 xml:space="preserve">(obowiązkowy lub do wyboru) </w:t>
            </w:r>
          </w:p>
          <w:p w14:paraId="1555C8FC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obowiązkowy</w:t>
            </w:r>
          </w:p>
        </w:tc>
      </w:tr>
      <w:tr w:rsidR="00AB2842" w:rsidRPr="00F73A14" w14:paraId="218331FB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0015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7.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9F5F4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Kierunek studiów </w:t>
            </w:r>
          </w:p>
          <w:p w14:paraId="464D60B1" w14:textId="1AC23D02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Filozofia – studia stacjonarne</w:t>
            </w:r>
            <w:r w:rsidR="002B5C76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 specjalność: studia nad religiami i dialogiem międzykult</w:t>
            </w:r>
            <w:r w:rsidR="008B2F0E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u</w:t>
            </w:r>
            <w:r w:rsidR="002B5C76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rowym</w:t>
            </w:r>
          </w:p>
        </w:tc>
      </w:tr>
      <w:tr w:rsidR="00AB2842" w:rsidRPr="00F73A14" w14:paraId="5D0B2759" w14:textId="77777777" w:rsidTr="0095529B">
        <w:trPr>
          <w:trHeight w:val="49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2F31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8.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4FCE" w14:textId="77777777" w:rsidR="00AB2842" w:rsidRDefault="00AB2842" w:rsidP="0095529B">
            <w:pPr>
              <w:spacing w:after="0" w:line="240" w:lineRule="auto"/>
              <w:ind w:left="108" w:hanging="132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Poziom studiów </w:t>
            </w:r>
          </w:p>
          <w:p w14:paraId="262E65FB" w14:textId="344F14AC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</w:t>
            </w:r>
            <w:r w:rsidR="002B5C76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stopień</w:t>
            </w:r>
          </w:p>
        </w:tc>
      </w:tr>
      <w:tr w:rsidR="00AB2842" w:rsidRPr="00F73A14" w14:paraId="6BA2D346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16105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9.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AE92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Rok studiów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>(jeśli obowiązuje</w:t>
            </w: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) </w:t>
            </w:r>
          </w:p>
          <w:p w14:paraId="05ECE1E5" w14:textId="0F049D96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</w:t>
            </w:r>
            <w:r w:rsidR="002B5C76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rok/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sem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. I</w:t>
            </w:r>
            <w:r w:rsidR="002B5C76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II</w:t>
            </w:r>
          </w:p>
        </w:tc>
      </w:tr>
      <w:tr w:rsidR="00AB2842" w:rsidRPr="00F73A14" w14:paraId="12EC55E9" w14:textId="77777777" w:rsidTr="0095529B">
        <w:trPr>
          <w:trHeight w:val="49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1066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10.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20F85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Semestr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 xml:space="preserve">(zimowy lub letni) </w:t>
            </w:r>
          </w:p>
          <w:p w14:paraId="42AA1B76" w14:textId="1EE00636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2B5C76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zimowy</w:t>
            </w:r>
          </w:p>
        </w:tc>
      </w:tr>
      <w:tr w:rsidR="00AB2842" w:rsidRPr="00F73A14" w14:paraId="549D8B9C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8F88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11.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71D9C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Forma zajęć i liczba godzin </w:t>
            </w:r>
          </w:p>
          <w:p w14:paraId="5057D545" w14:textId="43D01A9F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0272B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Praktyki</w:t>
            </w:r>
            <w:r w:rsidR="006A26C1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30</w:t>
            </w:r>
            <w:r w:rsidR="006A26C1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godz.</w:t>
            </w:r>
          </w:p>
        </w:tc>
      </w:tr>
      <w:tr w:rsidR="00AB2842" w:rsidRPr="00F73A14" w14:paraId="5EE61A1B" w14:textId="77777777" w:rsidTr="0095529B">
        <w:trPr>
          <w:trHeight w:val="7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CDD1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12.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A537" w14:textId="77777777" w:rsidR="00AB2842" w:rsidRPr="00F73A14" w:rsidRDefault="00AB2842" w:rsidP="0095529B">
            <w:pPr>
              <w:spacing w:after="2" w:line="240" w:lineRule="auto"/>
              <w:ind w:left="108" w:hanging="132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Wymagania wstępne w zakresie wiedzy, umiejętności i kompetencji społecznych dla przedmiotu/modułu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 xml:space="preserve"> </w:t>
            </w:r>
          </w:p>
          <w:p w14:paraId="246C041A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Zakres wiedzy ogólnej na poziomie matury</w:t>
            </w:r>
          </w:p>
        </w:tc>
      </w:tr>
      <w:tr w:rsidR="00AB2842" w:rsidRPr="00F73A14" w14:paraId="7D98B2F8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74A5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13.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BBAED" w14:textId="7D6A2652" w:rsidR="00AB2842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Cele kształcenia dla przedmiotu </w:t>
            </w:r>
          </w:p>
          <w:p w14:paraId="6C4D0E53" w14:textId="77777777" w:rsidR="003F551D" w:rsidRDefault="003F551D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2F48A9D4" w14:textId="154F3322" w:rsidR="003F551D" w:rsidRDefault="003F551D" w:rsidP="008B7C27">
            <w:pPr>
              <w:spacing w:after="0" w:line="240" w:lineRule="auto"/>
              <w:ind w:left="-2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3F551D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Praktyki stanowią podstawę do zdobycia przyszłego doświadczenia zawodowego w oparciu o korelację między procesem </w:t>
            </w:r>
            <w:r w:rsidR="008B7C2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studiowania</w:t>
            </w:r>
            <w:r w:rsidRPr="003F551D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w ramach realizacji programu specjalności a potrzebami otoczenia społecznego. Głównym celem praktyk jest praktyczna aplikacja dotychczas pozyskanej wiedzy, umiejętności i kompetencji społecznych, rudymentarna w kontekście diagnozowania i stymulowania dalszego samorozwoju oraz tworzenia planów zawodowych (w tym rozpoznania rynku pracy). </w:t>
            </w:r>
          </w:p>
          <w:p w14:paraId="3FAA26A1" w14:textId="0F75A507" w:rsidR="005725B2" w:rsidRPr="00F73A14" w:rsidRDefault="005725B2" w:rsidP="005725B2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</w:tr>
      <w:tr w:rsidR="00AB2842" w:rsidRPr="00F73A14" w14:paraId="698098B7" w14:textId="77777777" w:rsidTr="0095529B">
        <w:trPr>
          <w:trHeight w:val="1469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6D50B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14.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F811" w14:textId="30AC1F7F" w:rsidR="00AB2842" w:rsidRDefault="00AB2842" w:rsidP="005725B2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Treści programowe </w:t>
            </w:r>
            <w:r w:rsidR="005F23E0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(T/0)*</w:t>
            </w:r>
          </w:p>
          <w:p w14:paraId="71EB854B" w14:textId="7365853B" w:rsidR="005725B2" w:rsidRDefault="005725B2" w:rsidP="005725B2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8B5135C" w14:textId="5818A1B4" w:rsidR="005725B2" w:rsidRDefault="005725B2" w:rsidP="008B7C27">
            <w:pPr>
              <w:spacing w:after="0" w:line="240" w:lineRule="auto"/>
              <w:ind w:left="-2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5725B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Szczegółowy zakres i sposób odbycia praktyki określa program określony w indywidualnej umowie o organizację praktyki z interesariuszami zewnętrznymi, zgodnie z aktami normatywnymi w sprawie organizacji praktyk przewidzianych w programach kształcenia w Uniwersytecie Wrocławskim.</w:t>
            </w:r>
          </w:p>
          <w:p w14:paraId="11F4A0DD" w14:textId="70CBF86D" w:rsidR="003F551D" w:rsidRDefault="003F551D" w:rsidP="008B7C27">
            <w:pPr>
              <w:spacing w:after="0" w:line="240" w:lineRule="auto"/>
              <w:ind w:left="-2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22A78394" w14:textId="706A4D11" w:rsidR="003D5390" w:rsidRDefault="003D5390" w:rsidP="008B7C27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5390">
              <w:rPr>
                <w:rFonts w:ascii="Verdana" w:hAnsi="Verdana"/>
                <w:sz w:val="20"/>
                <w:szCs w:val="20"/>
              </w:rPr>
              <w:t>Za odbycie praktyki przewidzianej programem kształcenia mo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>e zostać uznane wykonywanie pracy zawodowej przez studenta, o ile jej charakter jest zgodny z kierunkiem studiów a okres zatrudnienia jest nie krótszy od wymaganego czasu praktyki. Dopuszczalne są ró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 xml:space="preserve">ne udokumentowane formy pracy zawodowej, np. umowa  o pracę, umowa o dzieło, umowa zlecenie, własna działalność gospodarcza. W celu uzyskania zaliczenia pracy zawodowej na </w:t>
            </w:r>
            <w:r w:rsidRPr="003D5390">
              <w:rPr>
                <w:rFonts w:ascii="Verdana" w:hAnsi="Verdana"/>
                <w:sz w:val="20"/>
                <w:szCs w:val="20"/>
              </w:rPr>
              <w:lastRenderedPageBreak/>
              <w:t>poczet odbytej praktyki student zobowiązany jest do zło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>enia w dziekanacie wniosku z dokumentacją potwierdzającą ten fakt. Wniosek wraz z dokumentacją powinien zostać zło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>ony przed rozpoczęciem praktyki. Wniosek studenta w sprawie zaliczenia praktyki przewidzianej programem kształcenia jest rozpatrywany ka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 xml:space="preserve">dorazowe indywidualnie. Rozstrzygnięcie w tej sprawie podejmuje dziekan. </w:t>
            </w:r>
          </w:p>
          <w:p w14:paraId="3BEEA865" w14:textId="015266C8" w:rsidR="003D5390" w:rsidRPr="003D5390" w:rsidRDefault="003D5390" w:rsidP="008B7C27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3D5390">
              <w:rPr>
                <w:rFonts w:ascii="Verdana" w:hAnsi="Verdana"/>
                <w:sz w:val="20"/>
                <w:szCs w:val="20"/>
              </w:rPr>
              <w:t>Student uczestniczący w pracach badawczych mo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>e na podstawie udokumentowanych</w:t>
            </w:r>
            <w:r w:rsidR="008B7C27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3D5390">
              <w:rPr>
                <w:rFonts w:ascii="Verdana" w:hAnsi="Verdana"/>
                <w:sz w:val="20"/>
                <w:szCs w:val="20"/>
              </w:rPr>
              <w:t>wyników prac uzyskać zaliczenie praktyk, jeśli jej tematyka wią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>e się  z przeprowadzonymi badaniami. Rozstrzygnięcia w sprawie powy</w:t>
            </w:r>
            <w:r>
              <w:rPr>
                <w:rFonts w:ascii="Verdana" w:hAnsi="Verdana"/>
                <w:sz w:val="20"/>
                <w:szCs w:val="20"/>
              </w:rPr>
              <w:t>ż</w:t>
            </w:r>
            <w:r w:rsidRPr="003D5390">
              <w:rPr>
                <w:rFonts w:ascii="Verdana" w:hAnsi="Verdana"/>
                <w:sz w:val="20"/>
                <w:szCs w:val="20"/>
              </w:rPr>
              <w:t>szych zaliczeń podejmuje dziekan na wniosek dyrektora (kierownika) właściwej jednostki naukowo-dydaktycznej.</w:t>
            </w:r>
          </w:p>
          <w:p w14:paraId="04AFDB66" w14:textId="0F6F9B9C" w:rsidR="007B21EA" w:rsidRPr="0026377D" w:rsidRDefault="007B21EA" w:rsidP="005725B2">
            <w:pPr>
              <w:spacing w:after="0" w:line="240" w:lineRule="auto"/>
              <w:ind w:right="12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  <w:lang w:eastAsia="pl-PL"/>
              </w:rPr>
            </w:pPr>
          </w:p>
        </w:tc>
      </w:tr>
      <w:tr w:rsidR="00AB2842" w:rsidRPr="00F73A14" w14:paraId="0D3E2891" w14:textId="77777777" w:rsidTr="0095529B">
        <w:trPr>
          <w:trHeight w:val="98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F9B52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lastRenderedPageBreak/>
              <w:t>15.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64F6A" w14:textId="77777777" w:rsidR="00AB2842" w:rsidRPr="00C74C05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szCs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Pr="00C74C05">
              <w:rPr>
                <w:rFonts w:ascii="Verdana" w:eastAsia="Verdana" w:hAnsi="Verdana" w:cs="Verdana"/>
                <w:color w:val="000000"/>
                <w:sz w:val="20"/>
                <w:szCs w:val="20"/>
                <w:lang w:eastAsia="pl-PL"/>
              </w:rPr>
              <w:t xml:space="preserve">Zakładane efekty uczenia się </w:t>
            </w:r>
          </w:p>
          <w:p w14:paraId="784158F1" w14:textId="77777777" w:rsidR="00AB2842" w:rsidRDefault="00AB2842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DFE01AB" w14:textId="77777777" w:rsidR="00AB2842" w:rsidRDefault="00AB2842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4930186" w14:textId="77777777" w:rsidR="00AB2842" w:rsidRDefault="00AB2842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AE23A8" w14:textId="77777777" w:rsidR="00AB2842" w:rsidRDefault="00AB2842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2534185" w14:textId="7DACA7B8" w:rsidR="00F70241" w:rsidRPr="00F70241" w:rsidRDefault="00AB2842" w:rsidP="00F702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3E64">
              <w:rPr>
                <w:rFonts w:ascii="Verdana" w:hAnsi="Verdana"/>
                <w:sz w:val="20"/>
                <w:szCs w:val="20"/>
              </w:rPr>
              <w:t>W</w:t>
            </w:r>
            <w:r w:rsidR="0041521B">
              <w:rPr>
                <w:rFonts w:ascii="Verdana" w:hAnsi="Verdana"/>
                <w:sz w:val="20"/>
                <w:szCs w:val="20"/>
              </w:rPr>
              <w:t>1</w:t>
            </w:r>
            <w:r w:rsidRPr="00833E64">
              <w:rPr>
                <w:rFonts w:ascii="Verdana" w:hAnsi="Verdana"/>
                <w:sz w:val="20"/>
                <w:szCs w:val="20"/>
              </w:rPr>
              <w:t>.</w:t>
            </w:r>
            <w:r w:rsidR="00AD287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70241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F70241" w:rsidRPr="00F70241">
              <w:rPr>
                <w:rFonts w:ascii="Verdana" w:hAnsi="Verdana"/>
                <w:sz w:val="20"/>
                <w:szCs w:val="20"/>
              </w:rPr>
              <w:t xml:space="preserve">zna i rozumie w pogłębionym stopniu miejsce i znaczenie filozofii w relacji do innych nauk i ma </w:t>
            </w:r>
          </w:p>
          <w:p w14:paraId="7F05884B" w14:textId="77777777" w:rsidR="00F70241" w:rsidRPr="00F70241" w:rsidRDefault="00F70241" w:rsidP="00F702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0241">
              <w:rPr>
                <w:rFonts w:ascii="Verdana" w:hAnsi="Verdana"/>
                <w:sz w:val="20"/>
                <w:szCs w:val="20"/>
              </w:rPr>
              <w:t xml:space="preserve">rozszerzoną wiedzę o specyfice przedmiotowej </w:t>
            </w:r>
          </w:p>
          <w:p w14:paraId="419AC3CA" w14:textId="2372B090" w:rsidR="00AB2842" w:rsidRPr="00AD2871" w:rsidRDefault="00F70241" w:rsidP="00F702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0241">
              <w:rPr>
                <w:rFonts w:ascii="Verdana" w:hAnsi="Verdana"/>
                <w:sz w:val="20"/>
                <w:szCs w:val="20"/>
              </w:rPr>
              <w:t>oraz metodologicznej filozofii lub wybranych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70241">
              <w:rPr>
                <w:rFonts w:ascii="Verdana" w:hAnsi="Verdana"/>
                <w:sz w:val="20"/>
                <w:szCs w:val="20"/>
              </w:rPr>
              <w:t>innych nauk</w:t>
            </w:r>
            <w:r w:rsidR="0041521B">
              <w:rPr>
                <w:rFonts w:ascii="Verdana" w:hAnsi="Verdana"/>
                <w:sz w:val="20"/>
                <w:szCs w:val="20"/>
              </w:rPr>
              <w:t>.</w:t>
            </w:r>
          </w:p>
          <w:p w14:paraId="6955FB77" w14:textId="77777777" w:rsidR="00AB2842" w:rsidRPr="00833E64" w:rsidRDefault="00AB2842" w:rsidP="0095529B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7E532D0B" w14:textId="741C609E" w:rsidR="00F70241" w:rsidRPr="00F70241" w:rsidRDefault="00AB2842" w:rsidP="00F702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33E64">
              <w:rPr>
                <w:rFonts w:ascii="Verdana" w:hAnsi="Verdana"/>
                <w:sz w:val="20"/>
                <w:szCs w:val="20"/>
              </w:rPr>
              <w:t xml:space="preserve">W2. </w:t>
            </w:r>
            <w:r w:rsidR="00F70241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F70241" w:rsidRPr="00F70241">
              <w:rPr>
                <w:rFonts w:ascii="Verdana" w:hAnsi="Verdana"/>
                <w:sz w:val="20"/>
                <w:szCs w:val="20"/>
              </w:rPr>
              <w:t xml:space="preserve">zna i rozumie zależności między filozofią i innymi naukami na poziomie umożliwiającym </w:t>
            </w:r>
          </w:p>
          <w:p w14:paraId="57F40544" w14:textId="77777777" w:rsidR="00F70241" w:rsidRPr="00F70241" w:rsidRDefault="00F70241" w:rsidP="00F702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0241">
              <w:rPr>
                <w:rFonts w:ascii="Verdana" w:hAnsi="Verdana"/>
                <w:sz w:val="20"/>
                <w:szCs w:val="20"/>
              </w:rPr>
              <w:t xml:space="preserve">interdyscyplinarną pracę ze specjalistami z innych </w:t>
            </w:r>
          </w:p>
          <w:p w14:paraId="291CC268" w14:textId="477AEEB9" w:rsidR="00AB2842" w:rsidRPr="00F277D9" w:rsidRDefault="00F70241" w:rsidP="00F7024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F70241">
              <w:rPr>
                <w:rFonts w:ascii="Verdana" w:hAnsi="Verdana"/>
                <w:sz w:val="20"/>
                <w:szCs w:val="20"/>
              </w:rPr>
              <w:t>dziedzin</w:t>
            </w:r>
            <w:r w:rsidR="0041521B">
              <w:rPr>
                <w:rFonts w:ascii="Verdana" w:hAnsi="Verdana"/>
                <w:sz w:val="20"/>
                <w:szCs w:val="20"/>
              </w:rPr>
              <w:t>.</w:t>
            </w:r>
          </w:p>
          <w:p w14:paraId="4F5AE01B" w14:textId="77777777" w:rsidR="00AB2842" w:rsidRDefault="00AB2842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2BE60B5E" w14:textId="6462B3CD" w:rsidR="00B35F39" w:rsidRDefault="00AB2842" w:rsidP="00B35F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9075C">
              <w:rPr>
                <w:rFonts w:ascii="Verdana" w:hAnsi="Verdana"/>
                <w:sz w:val="20"/>
                <w:szCs w:val="20"/>
              </w:rPr>
              <w:t xml:space="preserve">U1. </w:t>
            </w:r>
            <w:r w:rsidR="00B35F39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B35F39" w:rsidRPr="00B35F39">
              <w:rPr>
                <w:rFonts w:ascii="Verdana" w:hAnsi="Verdana"/>
                <w:sz w:val="20"/>
                <w:szCs w:val="20"/>
              </w:rPr>
              <w:t>twórczo wykorzystuje wiedzę filozoficzną i metodologiczną w formułowaniu hipotez i konstruowaniu krytycznych argumentacji</w:t>
            </w:r>
            <w:r w:rsidR="00D72CE1">
              <w:rPr>
                <w:rFonts w:ascii="Verdana" w:hAnsi="Verdana"/>
                <w:sz w:val="20"/>
                <w:szCs w:val="20"/>
              </w:rPr>
              <w:t>.</w:t>
            </w:r>
          </w:p>
          <w:p w14:paraId="04EA6500" w14:textId="77777777" w:rsidR="00B35F39" w:rsidRPr="00B35F39" w:rsidRDefault="00B35F39" w:rsidP="00B35F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34ED30A" w14:textId="3998A5AD" w:rsidR="00B35F39" w:rsidRDefault="00B35F39" w:rsidP="00B35F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U2. Student </w:t>
            </w:r>
            <w:r w:rsidRPr="00B35F39">
              <w:rPr>
                <w:rFonts w:ascii="Verdana" w:hAnsi="Verdana"/>
                <w:sz w:val="20"/>
                <w:szCs w:val="20"/>
              </w:rPr>
              <w:t>analizuje złożony argumenty filozoficzne, identyfikuje składające się na nie tezy i założenia, ustala zależności logiczne i argumentacyjne między tezami</w:t>
            </w:r>
            <w:r w:rsidR="00D72CE1">
              <w:rPr>
                <w:rFonts w:ascii="Verdana" w:hAnsi="Verdana"/>
                <w:sz w:val="20"/>
                <w:szCs w:val="20"/>
              </w:rPr>
              <w:t>.</w:t>
            </w:r>
          </w:p>
          <w:p w14:paraId="141F370C" w14:textId="77777777" w:rsidR="00B35F39" w:rsidRPr="00B35F39" w:rsidRDefault="00B35F39" w:rsidP="00B35F3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1490824" w14:textId="794CB73A" w:rsidR="00AD2871" w:rsidRPr="00AD2871" w:rsidRDefault="00B35F39" w:rsidP="00AD28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U3. </w:t>
            </w:r>
            <w:r w:rsidR="00AD2871">
              <w:rPr>
                <w:rFonts w:ascii="Verdana" w:hAnsi="Verdana"/>
                <w:sz w:val="20"/>
                <w:szCs w:val="20"/>
              </w:rPr>
              <w:t xml:space="preserve">Student </w:t>
            </w:r>
            <w:r w:rsidR="00AD2871" w:rsidRPr="00AD2871">
              <w:rPr>
                <w:rFonts w:ascii="Verdana" w:hAnsi="Verdana"/>
                <w:sz w:val="20"/>
                <w:szCs w:val="20"/>
              </w:rPr>
              <w:t xml:space="preserve">samodzielnie pogłębia uzyskaną wiedzę, celowo i skutecznie stosuje w sytuacjach zawodowych </w:t>
            </w:r>
          </w:p>
          <w:p w14:paraId="49CA3DB2" w14:textId="77777777" w:rsidR="00AD2871" w:rsidRPr="00AD2871" w:rsidRDefault="00AD2871" w:rsidP="00AD28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D2871">
              <w:rPr>
                <w:rFonts w:ascii="Verdana" w:hAnsi="Verdana"/>
                <w:sz w:val="20"/>
                <w:szCs w:val="20"/>
              </w:rPr>
              <w:t xml:space="preserve">zdobyte umiejętności komunikowania się; </w:t>
            </w:r>
          </w:p>
          <w:p w14:paraId="6EADAFBA" w14:textId="77777777" w:rsidR="00AD2871" w:rsidRPr="00AD2871" w:rsidRDefault="00AD2871" w:rsidP="00AD28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D2871">
              <w:rPr>
                <w:rFonts w:ascii="Verdana" w:hAnsi="Verdana"/>
                <w:sz w:val="20"/>
                <w:szCs w:val="20"/>
              </w:rPr>
              <w:t xml:space="preserve">efektywnie dostosowuje i modyfikuje wiedzę i </w:t>
            </w:r>
          </w:p>
          <w:p w14:paraId="720301D1" w14:textId="0F1E3066" w:rsidR="00B35F39" w:rsidRDefault="00AD2871" w:rsidP="00AD28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AD2871">
              <w:rPr>
                <w:rFonts w:ascii="Verdana" w:hAnsi="Verdana"/>
                <w:sz w:val="20"/>
                <w:szCs w:val="20"/>
              </w:rPr>
              <w:t>umiejętności do potrzeb zawodowych i społecznych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38E009AC" w14:textId="77777777" w:rsidR="00900C23" w:rsidRDefault="00900C23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761D78F9" w14:textId="20C46943" w:rsidR="00900C23" w:rsidRDefault="00D72CE1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K1. Student </w:t>
            </w:r>
            <w:r w:rsidRPr="00D72CE1">
              <w:rPr>
                <w:rFonts w:ascii="Verdana" w:hAnsi="Verdana"/>
                <w:sz w:val="20"/>
                <w:szCs w:val="20"/>
              </w:rPr>
              <w:t>jest gotów do krytycznej oceny posiadanej wiedzy i odbieranych treści; uznaje znaczenie wiedzy w rozwiązywaniu problemów poznawczych i praktycznych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A06F254" w14:textId="678B42D3" w:rsidR="00D72CE1" w:rsidRDefault="00D72CE1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661088DB" w14:textId="376E5849" w:rsidR="009522F2" w:rsidRPr="009522F2" w:rsidRDefault="009522F2" w:rsidP="00952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K2. Student </w:t>
            </w:r>
            <w:r w:rsidRPr="009522F2">
              <w:rPr>
                <w:rFonts w:ascii="Verdana" w:hAnsi="Verdana"/>
                <w:sz w:val="20"/>
                <w:szCs w:val="20"/>
              </w:rPr>
              <w:t>uczestniczy w życiu społecznym i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9522F2">
              <w:rPr>
                <w:rFonts w:ascii="Verdana" w:hAnsi="Verdana"/>
                <w:sz w:val="20"/>
                <w:szCs w:val="20"/>
              </w:rPr>
              <w:t xml:space="preserve">kulturalnym, interesuje się nowatorskimi koncepcjami </w:t>
            </w:r>
          </w:p>
          <w:p w14:paraId="397740A5" w14:textId="366E5D39" w:rsidR="009522F2" w:rsidRDefault="009522F2" w:rsidP="009522F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522F2">
              <w:rPr>
                <w:rFonts w:ascii="Verdana" w:hAnsi="Verdana"/>
                <w:sz w:val="20"/>
                <w:szCs w:val="20"/>
              </w:rPr>
              <w:t>filozoficznymi w powiązaniu z innymi komponentami życia kulturalnego i społecznego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448140B" w14:textId="77777777" w:rsidR="009522F2" w:rsidRDefault="009522F2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0A05DD2D" w14:textId="2EF7D235" w:rsidR="00AB2842" w:rsidRDefault="00D72CE1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</w:t>
            </w:r>
            <w:r w:rsidR="009522F2">
              <w:rPr>
                <w:rFonts w:ascii="Verdana" w:hAnsi="Verdana"/>
                <w:sz w:val="20"/>
                <w:szCs w:val="20"/>
              </w:rPr>
              <w:t>3</w:t>
            </w:r>
            <w:r>
              <w:rPr>
                <w:rFonts w:ascii="Verdana" w:hAnsi="Verdana"/>
                <w:sz w:val="20"/>
                <w:szCs w:val="20"/>
              </w:rPr>
              <w:t xml:space="preserve">. Student </w:t>
            </w:r>
            <w:r w:rsidRPr="00D72CE1">
              <w:rPr>
                <w:rFonts w:ascii="Verdana" w:hAnsi="Verdana"/>
                <w:sz w:val="20"/>
                <w:szCs w:val="20"/>
              </w:rPr>
              <w:t xml:space="preserve">jest gotów do odpowiedzialnego pełnienia ról zawodowych, z uwzględnieniem zmieniających się </w:t>
            </w:r>
            <w:r w:rsidRPr="00D72CE1">
              <w:rPr>
                <w:rFonts w:ascii="Verdana" w:hAnsi="Verdana"/>
                <w:sz w:val="20"/>
                <w:szCs w:val="20"/>
              </w:rPr>
              <w:lastRenderedPageBreak/>
              <w:t>potrzeb społecznych, w tym rozwijania dorobku zawodowego i podtrzymywania jego etosu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55B6DC67" w14:textId="63324FDB" w:rsidR="00772E51" w:rsidRDefault="00772E51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38D85ADA" w14:textId="77777777" w:rsidR="00D72CE1" w:rsidRPr="00E9075C" w:rsidRDefault="00D72CE1" w:rsidP="0095529B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14:paraId="1E02B090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340A" w14:textId="77777777" w:rsidR="00AB2842" w:rsidRPr="00F73A14" w:rsidRDefault="00AB2842" w:rsidP="009B48C3">
            <w:pPr>
              <w:spacing w:after="1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lastRenderedPageBreak/>
              <w:t xml:space="preserve">Symbole odpowiednich kierunkowych efektów uczenia </w:t>
            </w:r>
          </w:p>
          <w:p w14:paraId="68A55885" w14:textId="77777777" w:rsidR="00AB2842" w:rsidRPr="00F73A14" w:rsidRDefault="00AB2842" w:rsidP="009B48C3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się,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>np.: K_W01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16"/>
                <w:lang w:eastAsia="pl-PL"/>
              </w:rPr>
              <w:t>*</w:t>
            </w: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,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>K_U05,K_K03</w:t>
            </w: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2A41CDF2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39867868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76C61029" w14:textId="56CC44D8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K_W0</w:t>
            </w:r>
            <w:r w:rsidR="0041521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</w:t>
            </w:r>
          </w:p>
          <w:p w14:paraId="30ED1340" w14:textId="261B40F8" w:rsidR="00AB2842" w:rsidRDefault="00AB2842" w:rsidP="00F70241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20850D3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9E4B0F3" w14:textId="77777777" w:rsidR="007F1140" w:rsidRDefault="0041521B" w:rsidP="0041521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4116DA7E" w14:textId="77777777" w:rsidR="007F1140" w:rsidRDefault="007F1140" w:rsidP="0041521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88791C8" w14:textId="77777777" w:rsidR="007F1140" w:rsidRDefault="007F1140" w:rsidP="0041521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AE5928B" w14:textId="24C8DB08" w:rsidR="00AB2842" w:rsidRDefault="00AB2842" w:rsidP="0041521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K_W0</w:t>
            </w:r>
            <w:r w:rsidR="00AD2871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2</w:t>
            </w:r>
          </w:p>
          <w:p w14:paraId="77A90C5F" w14:textId="77777777" w:rsidR="00AB2842" w:rsidRDefault="00AB2842" w:rsidP="00F277D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2B4C8383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4549C9A" w14:textId="77777777" w:rsidR="00F70241" w:rsidRDefault="00F7024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8046AA0" w14:textId="77777777" w:rsidR="00F70241" w:rsidRDefault="00F7024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C3B26D2" w14:textId="0D0871DA" w:rsidR="00B35F39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</w:t>
            </w:r>
            <w:r w:rsidR="00F277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U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0</w:t>
            </w:r>
            <w:r w:rsidR="00F277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708E045C" w14:textId="77777777" w:rsidR="00B35F39" w:rsidRDefault="00B35F39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221F7564" w14:textId="77777777" w:rsidR="00B35F39" w:rsidRDefault="00B35F39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62BA98CE" w14:textId="77777777" w:rsidR="00B35F39" w:rsidRDefault="00B35F39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315DFAC1" w14:textId="16F92430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</w:t>
            </w:r>
            <w:r w:rsidR="00F277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U0</w:t>
            </w:r>
            <w:r w:rsidR="00AD2871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4</w:t>
            </w:r>
          </w:p>
          <w:p w14:paraId="7D69807F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37385CA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1E087C1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3DD15475" w14:textId="6A37FE00" w:rsidR="00AB2842" w:rsidRDefault="00B35F39" w:rsidP="00B35F3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AB284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U</w:t>
            </w:r>
            <w:r w:rsidR="00735D4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13</w:t>
            </w:r>
          </w:p>
          <w:p w14:paraId="22A1E5F8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6955EA4E" w14:textId="77777777" w:rsidR="00AB2842" w:rsidRDefault="00AB2842" w:rsidP="00B35F39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72ED8FF2" w14:textId="77777777" w:rsidR="00B35F39" w:rsidRDefault="00B35F39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51A83F6" w14:textId="75455C4A" w:rsidR="00D72CE1" w:rsidRDefault="00D72CE1" w:rsidP="00735D4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0F2809E" w14:textId="77777777" w:rsidR="00D72CE1" w:rsidRDefault="00D72CE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F79CBA9" w14:textId="6179BF5E" w:rsidR="00AB2842" w:rsidRDefault="00AB2842" w:rsidP="00D72CE1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K_K</w:t>
            </w:r>
            <w:r w:rsidR="00D72CE1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01</w:t>
            </w:r>
          </w:p>
          <w:p w14:paraId="0E8701F7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6C6325F6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32B44847" w14:textId="77777777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70E0A41" w14:textId="55FB7430" w:rsidR="009522F2" w:rsidRDefault="009522F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K_K04</w:t>
            </w:r>
          </w:p>
          <w:p w14:paraId="21DE6821" w14:textId="77777777" w:rsidR="009522F2" w:rsidRDefault="009522F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CD511F0" w14:textId="77777777" w:rsidR="009522F2" w:rsidRDefault="009522F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4940A2E" w14:textId="77777777" w:rsidR="009522F2" w:rsidRDefault="009522F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9B82C0B" w14:textId="77777777" w:rsidR="009522F2" w:rsidRDefault="009522F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53D9578" w14:textId="4E576485" w:rsidR="00AB2842" w:rsidRDefault="00AB2842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K_K0</w:t>
            </w:r>
            <w:r w:rsidR="009522F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6</w:t>
            </w:r>
          </w:p>
          <w:p w14:paraId="05F6CCC5" w14:textId="77777777" w:rsidR="00772E51" w:rsidRDefault="00772E5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687E9CB" w14:textId="77777777" w:rsidR="00772E51" w:rsidRDefault="00772E5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87A8423" w14:textId="77777777" w:rsidR="00772E51" w:rsidRDefault="00772E5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94593A6" w14:textId="3EBEA001" w:rsidR="00772E51" w:rsidRPr="00F73A14" w:rsidRDefault="00772E51" w:rsidP="0095529B">
            <w:pPr>
              <w:spacing w:after="0" w:line="240" w:lineRule="auto"/>
              <w:ind w:left="106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</w:tr>
      <w:tr w:rsidR="00AB2842" w:rsidRPr="003D5390" w14:paraId="76C25820" w14:textId="77777777" w:rsidTr="0095529B">
        <w:trPr>
          <w:trHeight w:val="4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6ED50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lastRenderedPageBreak/>
              <w:t>16.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D71A" w14:textId="77777777" w:rsidR="00AB2842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Literatura obowiązkowa i zalecana 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 xml:space="preserve">(źródła, opracowania, podręczniki, itp.) </w:t>
            </w:r>
          </w:p>
          <w:p w14:paraId="764ACD65" w14:textId="77777777" w:rsidR="00AB2842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0496022" w14:textId="11147138" w:rsidR="003D5390" w:rsidRDefault="003D5390" w:rsidP="00A1056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  <w:r w:rsidRPr="00A1056B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Zarządzenie </w:t>
            </w:r>
            <w:r w:rsidR="00A1056B" w:rsidRPr="00A1056B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Nr </w:t>
            </w:r>
            <w:r w:rsidR="00F26DAE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187</w:t>
            </w:r>
            <w:r w:rsidR="00A1056B" w:rsidRPr="00A1056B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/202</w:t>
            </w:r>
            <w:r w:rsidR="00F26DAE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2</w:t>
            </w:r>
            <w:r w:rsidR="00A1056B" w:rsidRPr="00A1056B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Rektora Uniwersytetu Wrocławskiego z dnia </w:t>
            </w:r>
            <w:r w:rsidR="00F26DAE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9 sierpnia</w:t>
            </w:r>
            <w:r w:rsidR="00A1056B" w:rsidRPr="00A1056B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202</w:t>
            </w:r>
            <w:r w:rsidR="00F26DAE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2</w:t>
            </w:r>
            <w:r w:rsidR="00A1056B" w:rsidRPr="00A1056B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r. w sprawie organizacji praktyk przewidzianych w programach studiów w Uniwersytecie Wrocławskim.</w:t>
            </w:r>
          </w:p>
          <w:p w14:paraId="4CF6BDE0" w14:textId="30DF2227" w:rsidR="00C44AF0" w:rsidRDefault="00C44AF0" w:rsidP="00A1056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</w:p>
          <w:p w14:paraId="7B2DFB98" w14:textId="65EA9326" w:rsidR="00C44AF0" w:rsidRPr="00A1056B" w:rsidRDefault="00C44AF0" w:rsidP="00A1056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Procedura organizacji praktyk studenckich na kierunku </w:t>
            </w:r>
            <w:r w:rsidRPr="00C44AF0">
              <w:rPr>
                <w:rFonts w:ascii="Verdana" w:eastAsia="Verdana" w:hAnsi="Verdana" w:cs="Verdana"/>
                <w:i/>
                <w:iCs/>
                <w:color w:val="000000" w:themeColor="text1"/>
                <w:sz w:val="20"/>
                <w:lang w:eastAsia="pl-PL"/>
              </w:rPr>
              <w:t>filozofia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w Uniwersytecie Wrocławskim, </w:t>
            </w:r>
            <w:r w:rsidRPr="00C44AF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https://www.filozofia.uni.wroc.pl/Studia-dzienne/Praktyki-studenckie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.</w:t>
            </w:r>
          </w:p>
          <w:p w14:paraId="537626FB" w14:textId="171308E8" w:rsidR="00A1056B" w:rsidRPr="003D5390" w:rsidRDefault="00A1056B" w:rsidP="003D5390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</w:tr>
      <w:tr w:rsidR="00AB2842" w:rsidRPr="00F73A14" w14:paraId="1F50932B" w14:textId="77777777" w:rsidTr="008E467A">
        <w:trPr>
          <w:trHeight w:val="935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C7E0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17.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FA6C7" w14:textId="432C1B6E" w:rsidR="00AB2842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  Metody weryfikacji zakładanych efektów uczenia się: </w:t>
            </w:r>
          </w:p>
          <w:p w14:paraId="5F7EAC49" w14:textId="77777777" w:rsidR="00AA578B" w:rsidRDefault="00AA578B" w:rsidP="00AA578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62DE084B" w14:textId="77777777" w:rsidR="00AB2842" w:rsidRPr="00F73A14" w:rsidRDefault="00AB2842" w:rsidP="0095529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3A42B59" w14:textId="09921B24" w:rsidR="004147EC" w:rsidRDefault="000317C2" w:rsidP="004147EC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0317C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Opiekun praktyk weryfikuje efekty kształcenia zdefiniowane dla danej praktyki po zakończeniu praktyki przez studenta na podstawie</w:t>
            </w:r>
            <w:r w:rsidR="001173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: (1)</w:t>
            </w:r>
            <w:r w:rsidRPr="000317C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4147EC" w:rsidRP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programu praktyki, zawierając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ego</w:t>
            </w:r>
            <w:r w:rsidR="004147EC" w:rsidRP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1173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wykaz </w:t>
            </w:r>
            <w:r w:rsidR="004147EC" w:rsidRP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zada</w:t>
            </w:r>
            <w:r w:rsidR="001173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ń</w:t>
            </w:r>
            <w:r w:rsidR="004147EC" w:rsidRP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przyporządkowan</w:t>
            </w:r>
            <w:r w:rsidR="001173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ych</w:t>
            </w:r>
            <w:r w:rsidR="004147EC" w:rsidRP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poszczególnym efektom uczenia się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 oraz</w:t>
            </w:r>
            <w:r w:rsidR="004147EC" w:rsidRP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1173D9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(2) </w:t>
            </w:r>
            <w:r w:rsidRPr="000317C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dokumentacji opisującej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B73C1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przebieg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praktyki</w:t>
            </w:r>
            <w:r w:rsidR="00B73C1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B73C1C" w:rsidRPr="00B73C1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i realizowanych w ich trakcie zadań</w:t>
            </w:r>
            <w:r w:rsidRPr="000317C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.</w:t>
            </w:r>
            <w:r w:rsid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74F8063D" w14:textId="77777777" w:rsidR="004147EC" w:rsidRDefault="004147EC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384348C" w14:textId="107DF56D" w:rsidR="00AA578B" w:rsidRPr="00AA578B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Wystawiona przez Zakład Pracy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o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pinia z przebiegu praktyki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będąca składową zaświadczenia o jej odbyciu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, winna zawierać co najmniej sumaryczną ocenę procentowego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stopnia osiągnięcia 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zakładanych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efektów uczenia się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w następującej skali:</w:t>
            </w:r>
          </w:p>
          <w:p w14:paraId="41E0A61E" w14:textId="4384ADFB" w:rsidR="00AA578B" w:rsidRPr="00AA578B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a) 91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-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100%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-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bardzo dobry (5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0);</w:t>
            </w:r>
          </w:p>
          <w:p w14:paraId="62519CC5" w14:textId="02E6A018" w:rsidR="00AA578B" w:rsidRPr="00AA578B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b) 81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-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90%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-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plus dobry (4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5);</w:t>
            </w:r>
          </w:p>
          <w:p w14:paraId="6FF82388" w14:textId="31110031" w:rsidR="00AA578B" w:rsidRPr="00AA578B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c) 71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-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80%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-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dobry (4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0);</w:t>
            </w:r>
          </w:p>
          <w:p w14:paraId="1D77FCD0" w14:textId="1701B2DD" w:rsidR="00AA578B" w:rsidRPr="00AA578B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d) 61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-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70% 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-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plus dostateczny (3.5);</w:t>
            </w:r>
          </w:p>
          <w:p w14:paraId="1F2A7A53" w14:textId="08688145" w:rsidR="00AA578B" w:rsidRPr="00AA578B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e) 51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-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60% 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-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dostateczny 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(3,0)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;</w:t>
            </w:r>
          </w:p>
          <w:p w14:paraId="469B0329" w14:textId="19C5B375" w:rsidR="00AB2842" w:rsidRDefault="00AA578B" w:rsidP="00AA578B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f) poni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ż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ej 50% 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- 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niedostateczny</w:t>
            </w:r>
            <w:r w:rsidR="004147E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(2,0)</w:t>
            </w:r>
            <w:r w:rsidRPr="00AA578B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.</w:t>
            </w:r>
          </w:p>
          <w:p w14:paraId="398B14BE" w14:textId="27A78DB9" w:rsidR="00EE69E7" w:rsidRDefault="00EE69E7" w:rsidP="002816CC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3E436750" w14:textId="0CB8C396" w:rsidR="00EE69E7" w:rsidRPr="00EE69E7" w:rsidRDefault="00EE69E7" w:rsidP="00EE69E7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Opiekun praktyk przedkłada dziekanowi 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w ciągu 3 tygodni od dnia zakończenia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praktyki sprawozdani</w:t>
            </w:r>
            <w:r w:rsidR="00565082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e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z oceną </w:t>
            </w:r>
            <w:r w:rsidR="0048279E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jej 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przebiegu, uwzględniając m.in.:</w:t>
            </w:r>
          </w:p>
          <w:p w14:paraId="3ADF2FFF" w14:textId="3BF2D235" w:rsidR="00EE69E7" w:rsidRPr="00EE69E7" w:rsidRDefault="00EE69E7" w:rsidP="00EE69E7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a/ charakterystykę przygotowania student</w:t>
            </w:r>
            <w:r w:rsidR="003404D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a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do praktyki,</w:t>
            </w:r>
          </w:p>
          <w:p w14:paraId="1F412281" w14:textId="103BADC2" w:rsidR="00EE69E7" w:rsidRPr="00EE69E7" w:rsidRDefault="00EE69E7" w:rsidP="00EE69E7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b/ informację o zakład</w:t>
            </w:r>
            <w:r w:rsidR="003404D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zie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 w który</w:t>
            </w:r>
            <w:r w:rsidR="003404D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m</w:t>
            </w: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przeprowadzono praktykę,</w:t>
            </w:r>
          </w:p>
          <w:p w14:paraId="20D572AD" w14:textId="5541D7B6" w:rsidR="00EE69E7" w:rsidRPr="00EE69E7" w:rsidRDefault="00EE69E7" w:rsidP="00EE69E7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EE69E7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c/ propozycje usprawnienia organizacji i programu praktyk.</w:t>
            </w:r>
          </w:p>
          <w:p w14:paraId="5DB5B794" w14:textId="064FA765" w:rsidR="008E467A" w:rsidRPr="00F73A14" w:rsidRDefault="008E467A" w:rsidP="00565082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</w:tr>
      <w:tr w:rsidR="00AB2842" w:rsidRPr="00F73A14" w14:paraId="365EE1D4" w14:textId="77777777" w:rsidTr="0095529B">
        <w:trPr>
          <w:trHeight w:val="244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A8966" w14:textId="77777777" w:rsidR="00AB2842" w:rsidRPr="00F73A14" w:rsidRDefault="00AB2842" w:rsidP="003767AF">
            <w:pPr>
              <w:spacing w:after="0" w:line="240" w:lineRule="auto"/>
              <w:ind w:left="108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18.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5F16A" w14:textId="77777777" w:rsidR="00AB2842" w:rsidRPr="00F73A14" w:rsidRDefault="00AB2842" w:rsidP="003767AF">
            <w:pPr>
              <w:spacing w:after="2" w:line="240" w:lineRule="auto"/>
              <w:ind w:left="108" w:right="936" w:hanging="132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Warunki i forma zaliczenia poszczególnych ko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mponentów przedmiotu/modułu:</w:t>
            </w: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 </w:t>
            </w:r>
          </w:p>
          <w:p w14:paraId="5A40E28C" w14:textId="583758E0" w:rsidR="003767AF" w:rsidRPr="003767AF" w:rsidRDefault="00AB2842" w:rsidP="003767AF">
            <w:pPr>
              <w:numPr>
                <w:ilvl w:val="0"/>
                <w:numId w:val="3"/>
              </w:numPr>
              <w:spacing w:after="0" w:line="250" w:lineRule="auto"/>
              <w:ind w:right="4" w:hanging="370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5CBB05F3" w14:textId="294263FF" w:rsidR="003767AF" w:rsidRDefault="003767AF" w:rsidP="003767AF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3767AF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Warunkiem zaliczenia praktyk jest wywiązanie się studenta z obowiązków określonych w planie i programie praktyk stanowiących integralną część planu studiów i programu studiów.</w:t>
            </w:r>
          </w:p>
          <w:p w14:paraId="3D28CD85" w14:textId="7302E8C1" w:rsidR="00FD4545" w:rsidRDefault="00FD4545" w:rsidP="003767AF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1A81A04" w14:textId="4107DB81" w:rsidR="003767AF" w:rsidRDefault="003767AF" w:rsidP="003767AF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3767AF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Praktykę zalicza opiekun praktyk w dokumentacji przebiegu studiów na podstawie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Pr="003767AF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przedstawionej przez studenta dokumentacji - wzór zaświadczenia o odbyciu praktyki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Pr="003767AF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stanowi Załącznik Nr </w:t>
            </w:r>
            <w:r w:rsidR="00F26DAE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7</w:t>
            </w:r>
            <w:r w:rsidRPr="003767AF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do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F26DAE" w:rsidRPr="00F26DAE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Zarządzeni</w:t>
            </w:r>
            <w:r w:rsidR="00F26DAE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a</w:t>
            </w:r>
            <w:r w:rsidR="00F26DAE" w:rsidRPr="00F26DAE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Nr 187/2022 Rektora Uniwersytetu Wrocławskiego z dnia 9 sierpnia 2022 r. w sprawie organizacji praktyk przewidzianych w programach studiów w Uniwersytecie Wrocławskim.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.</w:t>
            </w:r>
          </w:p>
          <w:p w14:paraId="169E1DE5" w14:textId="4AED99BB" w:rsidR="003767AF" w:rsidRDefault="003767AF" w:rsidP="003767AF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4091B2F" w14:textId="53C3FABC" w:rsidR="003767AF" w:rsidRDefault="003767AF" w:rsidP="003767AF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3767AF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Zaliczenie praktyk zostaje odnotowane w Uniwersyteckim Systemie Obsługi Studiów (USOS)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.</w:t>
            </w:r>
          </w:p>
          <w:p w14:paraId="30DE1B24" w14:textId="77777777" w:rsidR="003767AF" w:rsidRPr="003767AF" w:rsidRDefault="003767AF" w:rsidP="003767AF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B91AF1C" w14:textId="2BEB4F51" w:rsidR="002816CC" w:rsidRPr="002816CC" w:rsidRDefault="002816CC" w:rsidP="002816CC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2816C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lastRenderedPageBreak/>
              <w:t xml:space="preserve">Praca na rzecz Zakładu Pracy ma charakter nieodpłatny i z tytułu jej wykonywania 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Pr="002816C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studentowi/studentce nie przysługują żadne roszczenia finansowe, zarówno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Pr="002816C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w stosunku do Zakładu Pracy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,</w:t>
            </w:r>
            <w:r w:rsidRPr="002816C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jak i Uniwersytetu.</w:t>
            </w:r>
          </w:p>
          <w:p w14:paraId="6E0C030E" w14:textId="77777777" w:rsidR="002816CC" w:rsidRDefault="002816CC" w:rsidP="002816CC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20AE0CD" w14:textId="56F8A645" w:rsidR="002816CC" w:rsidRPr="00F73A14" w:rsidRDefault="002816CC" w:rsidP="002816CC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2816CC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Po zakończeniu praktyki, student/ka sporządza sprawozdanie z przebiegu praktyki, które potwierdza zakładowy opiekun i osoba upoważniona z Uniwersytetu.</w:t>
            </w:r>
          </w:p>
        </w:tc>
      </w:tr>
      <w:tr w:rsidR="00AB2842" w:rsidRPr="00F73A14" w14:paraId="35B18AA1" w14:textId="77777777" w:rsidTr="0095529B">
        <w:trPr>
          <w:trHeight w:val="25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552F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lastRenderedPageBreak/>
              <w:t>19.</w:t>
            </w:r>
            <w:r w:rsidRPr="00F73A14">
              <w:rPr>
                <w:rFonts w:ascii="Arial" w:eastAsia="Arial" w:hAnsi="Arial" w:cs="Arial"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2DDBE" w14:textId="77777777" w:rsidR="00AB2842" w:rsidRPr="00F73A14" w:rsidRDefault="00AB2842" w:rsidP="0095529B">
            <w:pPr>
              <w:spacing w:after="0" w:line="240" w:lineRule="auto"/>
              <w:ind w:left="-2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Nakład pracy studenta/doktoranta </w:t>
            </w:r>
          </w:p>
        </w:tc>
      </w:tr>
      <w:tr w:rsidR="00AB2842" w:rsidRPr="00F73A14" w14:paraId="19ABDA21" w14:textId="77777777" w:rsidTr="0095529B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201CB3" w14:textId="77777777" w:rsidR="00AB2842" w:rsidRPr="00F73A14" w:rsidRDefault="00AB2842" w:rsidP="0095529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F38B" w14:textId="77777777" w:rsidR="00AB2842" w:rsidRPr="00F73A14" w:rsidRDefault="00AB2842" w:rsidP="0095529B">
            <w:pPr>
              <w:spacing w:after="0" w:line="240" w:lineRule="auto"/>
              <w:ind w:left="110" w:right="45"/>
              <w:jc w:val="center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forma realizacji zajęć przez studenta*/doktoranta* 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E05C" w14:textId="77777777" w:rsidR="00AB2842" w:rsidRPr="00F73A14" w:rsidRDefault="00AB2842" w:rsidP="0095529B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liczba godzin przeznaczona na zrealizowanie danego rodzaju zajęć </w:t>
            </w:r>
          </w:p>
        </w:tc>
      </w:tr>
      <w:tr w:rsidR="00AB2842" w:rsidRPr="00F73A14" w14:paraId="008171E8" w14:textId="77777777" w:rsidTr="009914B5">
        <w:trPr>
          <w:trHeight w:val="5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DBDA03" w14:textId="77777777" w:rsidR="00AB2842" w:rsidRPr="00F73A14" w:rsidRDefault="00AB2842" w:rsidP="0095529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8902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zajęcia (wg planu studiów) z prowadzącym: </w:t>
            </w:r>
          </w:p>
          <w:p w14:paraId="7C5FE0C6" w14:textId="12AF1744" w:rsidR="00AB2842" w:rsidRPr="00F73A14" w:rsidRDefault="00112D1F" w:rsidP="0095529B">
            <w:pPr>
              <w:numPr>
                <w:ilvl w:val="0"/>
                <w:numId w:val="4"/>
              </w:num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praktyki studenckie</w:t>
            </w:r>
          </w:p>
          <w:p w14:paraId="053EFDF9" w14:textId="7E7A0C9A" w:rsidR="00AB2842" w:rsidRPr="00F73A14" w:rsidRDefault="00AB2842" w:rsidP="00112D1F">
            <w:pPr>
              <w:spacing w:after="0" w:line="250" w:lineRule="auto"/>
              <w:ind w:left="142"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5CA1FE9D" w14:textId="77777777" w:rsidR="00AB2842" w:rsidRPr="00F73A14" w:rsidRDefault="00AB2842" w:rsidP="0095529B">
            <w:pPr>
              <w:spacing w:after="0" w:line="250" w:lineRule="auto"/>
              <w:ind w:right="4"/>
              <w:jc w:val="both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BFFA" w14:textId="77777777" w:rsidR="00AB2842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371EA5B9" w14:textId="77777777" w:rsidR="00AB2842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30</w:t>
            </w:r>
          </w:p>
          <w:p w14:paraId="2DC8841F" w14:textId="73F350E1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</w:tr>
      <w:tr w:rsidR="00AB2842" w:rsidRPr="00F73A14" w14:paraId="2D804046" w14:textId="77777777" w:rsidTr="0095529B">
        <w:trPr>
          <w:trHeight w:val="17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FB8031" w14:textId="77777777" w:rsidR="00AB2842" w:rsidRPr="00F73A14" w:rsidRDefault="00AB2842" w:rsidP="0095529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800A" w14:textId="3B87FE81" w:rsidR="00AB2842" w:rsidRPr="00F73A14" w:rsidRDefault="00AB2842" w:rsidP="005F23E0">
            <w:pPr>
              <w:spacing w:after="0" w:line="242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praca własna studenta/doktoranta (w tym udział w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pracach grupowych)</w:t>
            </w:r>
          </w:p>
          <w:p w14:paraId="5AF28FD0" w14:textId="311C68E3" w:rsidR="005F23E0" w:rsidRPr="005F23E0" w:rsidRDefault="00AB2842" w:rsidP="005F23E0">
            <w:pPr>
              <w:numPr>
                <w:ilvl w:val="0"/>
                <w:numId w:val="5"/>
              </w:numPr>
              <w:spacing w:after="0" w:line="250" w:lineRule="auto"/>
              <w:ind w:right="4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formalne </w:t>
            </w:r>
            <w:r w:rsidR="00112D1F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przygotowanie do 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podjęcia praktyk </w:t>
            </w:r>
            <w:r w:rsidR="00112D1F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(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np. 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zapoznanie się 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z 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zasadami prowadzenia dokumentacji niezbędnej do zaliczenia praktyki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;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współpraca z opiekunem w zakresie</w:t>
            </w:r>
            <w:r w:rsidR="005F23E0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przygotowania programu praktyk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; zapoznani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e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się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</w:t>
            </w:r>
            <w:r w:rsidR="00862BA7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z aktami normatywnymi warunkującymi podjęcie praktyk</w:t>
            </w:r>
            <w:r w:rsidR="0020471B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, np.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</w:t>
            </w:r>
            <w:r w:rsidR="005F23E0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ustalonego przez Zakład Pracy porządku i dyscypliny pracy,</w:t>
            </w:r>
            <w:r w:rsidR="005F23E0" w:rsidRPr="005F23E0">
              <w:rPr>
                <w:color w:val="000000" w:themeColor="text1"/>
              </w:rPr>
              <w:t xml:space="preserve"> </w:t>
            </w:r>
            <w:r w:rsidR="005F23E0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przepisami regulującymi zasady bezpieczeństwa i higieny pracy oraz ochrony</w:t>
            </w:r>
            <w:r w:rsidR="005F23E0" w:rsidRPr="005F23E0">
              <w:rPr>
                <w:color w:val="000000" w:themeColor="text1"/>
              </w:rPr>
              <w:t xml:space="preserve"> </w:t>
            </w:r>
            <w:r w:rsidR="005F23E0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przeciwpożarowej, zasady zachowania tajemnicy służbowej i państwowej oraz ochrony poufności danych w zakresie określonym przez Zakład Pracy</w:t>
            </w:r>
            <w:r w:rsid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;</w:t>
            </w:r>
          </w:p>
          <w:p w14:paraId="5C49D35D" w14:textId="0B8954D4" w:rsidR="00AB2842" w:rsidRDefault="009914B5" w:rsidP="005F23E0">
            <w:pPr>
              <w:spacing w:after="0" w:line="250" w:lineRule="auto"/>
              <w:ind w:left="269" w:right="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9914B5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przygotowanie ubezpieczenia od następstw nieszczęśliwych wypadków i odpowiedzialności cywilnej na czas trwania praktyki</w:t>
            </w:r>
            <w:r w:rsidR="0012220A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)</w:t>
            </w:r>
            <w:r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;</w:t>
            </w:r>
          </w:p>
          <w:p w14:paraId="01820B02" w14:textId="77777777" w:rsidR="00347414" w:rsidRPr="00347414" w:rsidRDefault="005F23E0" w:rsidP="00347414">
            <w:pPr>
              <w:numPr>
                <w:ilvl w:val="0"/>
                <w:numId w:val="5"/>
              </w:numPr>
              <w:spacing w:after="0" w:line="250" w:lineRule="auto"/>
              <w:ind w:right="4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  <w:r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wykonywane poza Zakładem Pracy 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samodzielne 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przygotowanie do realizacji 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zadań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umownych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określonych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program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em</w:t>
            </w:r>
            <w:r w:rsidR="0012220A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prakty</w:t>
            </w:r>
            <w:r w:rsidR="009914B5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k </w:t>
            </w:r>
            <w:r w:rsidR="00763EC4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w trakcie </w:t>
            </w:r>
            <w:r w:rsidR="0020471B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ich</w:t>
            </w:r>
            <w:r w:rsidR="00763EC4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trwania</w:t>
            </w:r>
            <w:r w:rsidR="00347414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/</w:t>
            </w:r>
            <w:bookmarkStart w:id="0" w:name="_Hlk81940787"/>
            <w:r w:rsidR="00347414" w:rsidRPr="00347414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wykonywanie działań </w:t>
            </w:r>
          </w:p>
          <w:p w14:paraId="10FD9E6F" w14:textId="67309496" w:rsidR="0012220A" w:rsidRPr="005F23E0" w:rsidRDefault="00347414" w:rsidP="00347414">
            <w:pPr>
              <w:spacing w:after="0" w:line="250" w:lineRule="auto"/>
              <w:ind w:left="269" w:right="4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  <w:r w:rsidRPr="00347414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zleconych na rzecz </w:t>
            </w:r>
            <w:r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Zakładu Pracy</w:t>
            </w:r>
            <w:r w:rsidRPr="00347414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 xml:space="preserve"> poza miejscem odbywania praktyki</w:t>
            </w:r>
            <w:bookmarkEnd w:id="0"/>
            <w:r w:rsidR="005F23E0"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.</w:t>
            </w:r>
          </w:p>
          <w:p w14:paraId="50C9E36D" w14:textId="0F13BB06" w:rsidR="00AB2842" w:rsidRPr="00F73A14" w:rsidRDefault="00AB2842" w:rsidP="005F23E0">
            <w:pPr>
              <w:spacing w:after="0" w:line="250" w:lineRule="auto"/>
              <w:ind w:left="269" w:right="4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6B2F3" w14:textId="77777777" w:rsidR="00AB2842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</w:p>
          <w:p w14:paraId="23ABF2C4" w14:textId="77777777" w:rsidR="00AB2842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DD2B04B" w14:textId="083FF244" w:rsidR="00AB2842" w:rsidRPr="005F23E0" w:rsidRDefault="00763EC4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</w:pPr>
            <w:r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15</w:t>
            </w:r>
          </w:p>
          <w:p w14:paraId="48F9124F" w14:textId="77777777" w:rsidR="0012220A" w:rsidRDefault="0012220A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36A5ADBD" w14:textId="77777777" w:rsidR="0012220A" w:rsidRDefault="0012220A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F530AF8" w14:textId="5660BFF1" w:rsidR="0012220A" w:rsidRDefault="0012220A" w:rsidP="0012220A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8B069D3" w14:textId="77777777" w:rsidR="0012220A" w:rsidRDefault="0012220A" w:rsidP="0012220A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90BA957" w14:textId="77777777" w:rsidR="0012220A" w:rsidRDefault="0012220A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2365360" w14:textId="77777777" w:rsidR="0012220A" w:rsidRDefault="0012220A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5D951E7A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0C54A8C5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615C0C0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7F3F580A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68197FDA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133585C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755E77A0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22F565E7" w14:textId="77777777" w:rsidR="009914B5" w:rsidRDefault="009914B5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693B5931" w14:textId="77777777" w:rsidR="0020471B" w:rsidRDefault="0020471B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BEBE6C3" w14:textId="77777777" w:rsidR="0020471B" w:rsidRDefault="0020471B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1754C28F" w14:textId="77777777" w:rsidR="0020471B" w:rsidRDefault="0020471B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  <w:p w14:paraId="400C28A6" w14:textId="3400A207" w:rsidR="0012220A" w:rsidRPr="00F73A14" w:rsidRDefault="00862BA7" w:rsidP="00112D1F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90</w:t>
            </w:r>
          </w:p>
        </w:tc>
      </w:tr>
      <w:tr w:rsidR="00AB2842" w:rsidRPr="00F73A14" w14:paraId="0A1229AF" w14:textId="77777777" w:rsidTr="0095529B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2E7A59" w14:textId="77777777" w:rsidR="00AB2842" w:rsidRPr="00F73A14" w:rsidRDefault="00AB2842" w:rsidP="0095529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75A9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Łączna liczba godzin 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9941" w14:textId="3B56E840" w:rsidR="00AB2842" w:rsidRPr="00F73A14" w:rsidRDefault="00862BA7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5F23E0">
              <w:rPr>
                <w:rFonts w:ascii="Verdana" w:eastAsia="Verdana" w:hAnsi="Verdana" w:cs="Verdana"/>
                <w:color w:val="000000" w:themeColor="text1"/>
                <w:sz w:val="20"/>
                <w:lang w:eastAsia="pl-PL"/>
              </w:rPr>
              <w:t>135</w:t>
            </w:r>
          </w:p>
        </w:tc>
      </w:tr>
      <w:tr w:rsidR="00AB2842" w:rsidRPr="00F73A14" w14:paraId="5C4E24BF" w14:textId="77777777" w:rsidTr="0095529B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D498" w14:textId="77777777" w:rsidR="00AB2842" w:rsidRPr="00F73A14" w:rsidRDefault="00AB2842" w:rsidP="0095529B">
            <w:pPr>
              <w:spacing w:after="0" w:line="240" w:lineRule="auto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CA00" w14:textId="77777777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Liczba punktów ECTS (</w:t>
            </w:r>
            <w:r w:rsidRPr="00F73A14">
              <w:rPr>
                <w:rFonts w:ascii="Verdana" w:eastAsia="Verdana" w:hAnsi="Verdana" w:cs="Verdana"/>
                <w:i/>
                <w:color w:val="000000"/>
                <w:sz w:val="20"/>
                <w:lang w:eastAsia="pl-PL"/>
              </w:rPr>
              <w:t>jeśli jest wymagana</w:t>
            </w: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) </w:t>
            </w:r>
          </w:p>
        </w:tc>
        <w:tc>
          <w:tcPr>
            <w:tcW w:w="4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225D" w14:textId="24B28A08" w:rsidR="00AB2842" w:rsidRPr="00F73A14" w:rsidRDefault="00AB2842" w:rsidP="0095529B">
            <w:pPr>
              <w:spacing w:after="0" w:line="240" w:lineRule="auto"/>
              <w:ind w:left="108"/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</w:pPr>
            <w:r w:rsidRPr="00F73A14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 xml:space="preserve"> </w:t>
            </w:r>
            <w:r w:rsidR="006A26C1">
              <w:rPr>
                <w:rFonts w:ascii="Verdana" w:eastAsia="Verdana" w:hAnsi="Verdana" w:cs="Verdana"/>
                <w:color w:val="000000"/>
                <w:sz w:val="20"/>
                <w:lang w:eastAsia="pl-PL"/>
              </w:rPr>
              <w:t>5</w:t>
            </w:r>
          </w:p>
        </w:tc>
      </w:tr>
    </w:tbl>
    <w:p w14:paraId="3CE4A0DC" w14:textId="77777777" w:rsidR="00AB2842" w:rsidRPr="00F73A14" w:rsidRDefault="00AB2842" w:rsidP="00AB2842">
      <w:pPr>
        <w:spacing w:after="0"/>
        <w:ind w:left="567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color w:val="000000"/>
          <w:sz w:val="20"/>
          <w:lang w:eastAsia="pl-PL"/>
        </w:rPr>
        <w:t xml:space="preserve"> </w:t>
      </w:r>
    </w:p>
    <w:p w14:paraId="29FBD9DC" w14:textId="77777777" w:rsidR="00AB2842" w:rsidRPr="00F73A14" w:rsidRDefault="00AB2842" w:rsidP="00AB2842">
      <w:pPr>
        <w:spacing w:after="20" w:line="250" w:lineRule="auto"/>
        <w:ind w:left="567" w:right="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color w:val="000000"/>
          <w:sz w:val="20"/>
          <w:lang w:eastAsia="pl-PL"/>
        </w:rPr>
        <w:t xml:space="preserve">(T) – realizowane w sposób tradycyjny </w:t>
      </w:r>
    </w:p>
    <w:p w14:paraId="3DE1A0C4" w14:textId="77777777" w:rsidR="00AB2842" w:rsidRPr="00F73A14" w:rsidRDefault="00AB2842" w:rsidP="00AB2842">
      <w:pPr>
        <w:spacing w:after="20" w:line="250" w:lineRule="auto"/>
        <w:ind w:left="567" w:right="1"/>
        <w:jc w:val="both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color w:val="000000"/>
          <w:sz w:val="20"/>
          <w:lang w:eastAsia="pl-PL"/>
        </w:rPr>
        <w:t xml:space="preserve">(O) - realizowane online  </w:t>
      </w:r>
    </w:p>
    <w:p w14:paraId="13E162DC" w14:textId="77777777" w:rsidR="00AB2842" w:rsidRPr="00F73A14" w:rsidRDefault="00AB2842" w:rsidP="00AB2842">
      <w:pPr>
        <w:spacing w:after="0"/>
        <w:ind w:left="567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color w:val="000000"/>
          <w:sz w:val="16"/>
          <w:lang w:eastAsia="pl-PL"/>
        </w:rPr>
        <w:t xml:space="preserve"> </w:t>
      </w:r>
    </w:p>
    <w:p w14:paraId="489A5BBA" w14:textId="77777777" w:rsidR="00AB2842" w:rsidRPr="00F73A14" w:rsidRDefault="00AB2842" w:rsidP="00AB2842">
      <w:pPr>
        <w:spacing w:after="37" w:line="257" w:lineRule="auto"/>
        <w:ind w:left="-5" w:hanging="10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Verdana" w:eastAsia="Verdana" w:hAnsi="Verdana" w:cs="Verdana"/>
          <w:color w:val="000000"/>
          <w:sz w:val="16"/>
          <w:lang w:eastAsia="pl-PL"/>
        </w:rPr>
        <w:t xml:space="preserve">*niepotrzebne usunąć </w:t>
      </w:r>
    </w:p>
    <w:p w14:paraId="5F429B60" w14:textId="459A2E07" w:rsidR="00AB2842" w:rsidRPr="00F73A14" w:rsidRDefault="00AB2842" w:rsidP="00970F6E">
      <w:pPr>
        <w:spacing w:after="0"/>
        <w:ind w:left="567"/>
        <w:rPr>
          <w:rFonts w:ascii="Verdana" w:eastAsia="Verdana" w:hAnsi="Verdana" w:cs="Verdana"/>
          <w:color w:val="000000"/>
          <w:sz w:val="20"/>
          <w:lang w:eastAsia="pl-PL"/>
        </w:rPr>
      </w:pPr>
      <w:r w:rsidRPr="00F73A14">
        <w:rPr>
          <w:rFonts w:ascii="Times New Roman" w:eastAsia="Times New Roman" w:hAnsi="Times New Roman"/>
          <w:color w:val="000000"/>
          <w:sz w:val="24"/>
          <w:lang w:eastAsia="pl-PL"/>
        </w:rPr>
        <w:t xml:space="preserve">  </w:t>
      </w:r>
    </w:p>
    <w:p w14:paraId="3782FE8E" w14:textId="340F2F66" w:rsidR="00AB2842" w:rsidRPr="00970F6E" w:rsidRDefault="00AB2842" w:rsidP="00970F6E">
      <w:pPr>
        <w:tabs>
          <w:tab w:val="center" w:pos="1568"/>
          <w:tab w:val="center" w:pos="2381"/>
          <w:tab w:val="center" w:pos="3282"/>
          <w:tab w:val="center" w:pos="4276"/>
          <w:tab w:val="center" w:pos="5285"/>
          <w:tab w:val="center" w:pos="6286"/>
          <w:tab w:val="center" w:pos="7060"/>
          <w:tab w:val="center" w:pos="7533"/>
          <w:tab w:val="center" w:pos="8032"/>
          <w:tab w:val="center" w:pos="8615"/>
          <w:tab w:val="center" w:pos="9385"/>
          <w:tab w:val="right" w:pos="10202"/>
        </w:tabs>
        <w:spacing w:after="0"/>
        <w:rPr>
          <w:rFonts w:ascii="Verdana" w:eastAsia="Verdana" w:hAnsi="Verdana" w:cs="Verdana"/>
          <w:color w:val="FF0000"/>
          <w:sz w:val="17"/>
          <w:lang w:eastAsia="pl-PL"/>
        </w:rPr>
      </w:pPr>
      <w:r w:rsidRPr="00F73A14">
        <w:rPr>
          <w:rFonts w:ascii="Verdana" w:eastAsia="Verdana" w:hAnsi="Verdana" w:cs="Verdana"/>
          <w:color w:val="FF0000"/>
          <w:sz w:val="17"/>
          <w:lang w:eastAsia="pl-PL"/>
        </w:rPr>
        <w:lastRenderedPageBreak/>
        <w:t xml:space="preserve">Tabelę należy </w:t>
      </w:r>
      <w:r w:rsidRPr="00F73A14">
        <w:rPr>
          <w:rFonts w:ascii="Verdana" w:eastAsia="Verdana" w:hAnsi="Verdana" w:cs="Verdana"/>
          <w:color w:val="FF0000"/>
          <w:sz w:val="17"/>
          <w:lang w:eastAsia="pl-PL"/>
        </w:rPr>
        <w:tab/>
        <w:t xml:space="preserve">wypełnić </w:t>
      </w:r>
      <w:r w:rsidRPr="00F73A14">
        <w:rPr>
          <w:rFonts w:ascii="Verdana" w:eastAsia="Verdana" w:hAnsi="Verdana" w:cs="Verdana"/>
          <w:color w:val="FF0000"/>
          <w:sz w:val="17"/>
          <w:lang w:eastAsia="pl-PL"/>
        </w:rPr>
        <w:tab/>
        <w:t>czcionką Verdana, wielkość min</w:t>
      </w:r>
      <w:r>
        <w:rPr>
          <w:rFonts w:ascii="Verdana" w:eastAsia="Verdana" w:hAnsi="Verdana" w:cs="Verdana"/>
          <w:color w:val="FF0000"/>
          <w:sz w:val="17"/>
          <w:lang w:eastAsia="pl-PL"/>
        </w:rPr>
        <w:t>.</w:t>
      </w:r>
      <w:r w:rsidRPr="00F73A14">
        <w:rPr>
          <w:rFonts w:ascii="Verdana" w:eastAsia="Verdana" w:hAnsi="Verdana" w:cs="Verdana"/>
          <w:color w:val="FF0000"/>
          <w:sz w:val="17"/>
          <w:lang w:eastAsia="pl-PL"/>
        </w:rPr>
        <w:t xml:space="preserve"> 9 max</w:t>
      </w:r>
      <w:r>
        <w:rPr>
          <w:rFonts w:ascii="Verdana" w:eastAsia="Verdana" w:hAnsi="Verdana" w:cs="Verdana"/>
          <w:color w:val="FF0000"/>
          <w:sz w:val="17"/>
          <w:lang w:eastAsia="pl-PL"/>
        </w:rPr>
        <w:t xml:space="preserve">. </w:t>
      </w:r>
      <w:r w:rsidRPr="00F73A14">
        <w:rPr>
          <w:rFonts w:ascii="Verdana" w:eastAsia="Verdana" w:hAnsi="Verdana" w:cs="Verdana"/>
          <w:color w:val="FF0000"/>
          <w:sz w:val="17"/>
          <w:lang w:eastAsia="pl-PL"/>
        </w:rPr>
        <w:t>10,</w:t>
      </w:r>
      <w:r>
        <w:rPr>
          <w:rFonts w:ascii="Verdana" w:eastAsia="Verdana" w:hAnsi="Verdana" w:cs="Verdana"/>
          <w:color w:val="FF0000"/>
          <w:sz w:val="17"/>
          <w:lang w:eastAsia="pl-PL"/>
        </w:rPr>
        <w:t xml:space="preserve"> </w:t>
      </w:r>
      <w:r w:rsidRPr="00F73A14">
        <w:rPr>
          <w:rFonts w:ascii="Verdana" w:eastAsia="Verdana" w:hAnsi="Verdana" w:cs="Verdana"/>
          <w:color w:val="FF0000"/>
          <w:sz w:val="17"/>
          <w:lang w:eastAsia="pl-PL"/>
        </w:rPr>
        <w:t>interlinia</w:t>
      </w:r>
      <w:r>
        <w:rPr>
          <w:rFonts w:ascii="Verdana" w:eastAsia="Verdana" w:hAnsi="Verdana" w:cs="Verdana"/>
          <w:color w:val="FF0000"/>
          <w:sz w:val="17"/>
          <w:lang w:eastAsia="pl-PL"/>
        </w:rPr>
        <w:t xml:space="preserve"> </w:t>
      </w:r>
      <w:r w:rsidRPr="00F73A14">
        <w:rPr>
          <w:rFonts w:ascii="Verdana" w:eastAsia="Verdana" w:hAnsi="Verdana" w:cs="Verdana"/>
          <w:color w:val="FF0000"/>
          <w:sz w:val="17"/>
          <w:lang w:eastAsia="pl-PL"/>
        </w:rPr>
        <w:t>1</w:t>
      </w:r>
      <w:r>
        <w:rPr>
          <w:rFonts w:ascii="Verdana" w:eastAsia="Verdana" w:hAnsi="Verdana" w:cs="Verdana"/>
          <w:color w:val="FF0000"/>
          <w:sz w:val="17"/>
          <w:lang w:eastAsia="pl-PL"/>
        </w:rPr>
        <w:t>.</w:t>
      </w:r>
    </w:p>
    <w:p w14:paraId="376C5D3C" w14:textId="77777777" w:rsidR="002F23DE" w:rsidRDefault="002F23DE"/>
    <w:sectPr w:rsidR="002F23D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567FF"/>
    <w:multiLevelType w:val="hybridMultilevel"/>
    <w:tmpl w:val="F52AD858"/>
    <w:lvl w:ilvl="0" w:tplc="23B658F8">
      <w:start w:val="1"/>
      <w:numFmt w:val="bullet"/>
      <w:lvlText w:val="-"/>
      <w:lvlJc w:val="left"/>
      <w:pPr>
        <w:ind w:left="1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EAD6D8">
      <w:start w:val="1"/>
      <w:numFmt w:val="bullet"/>
      <w:lvlText w:val="o"/>
      <w:lvlJc w:val="left"/>
      <w:pPr>
        <w:ind w:left="10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22B234">
      <w:start w:val="1"/>
      <w:numFmt w:val="bullet"/>
      <w:lvlText w:val="▪"/>
      <w:lvlJc w:val="left"/>
      <w:pPr>
        <w:ind w:left="17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65B08">
      <w:start w:val="1"/>
      <w:numFmt w:val="bullet"/>
      <w:lvlText w:val="•"/>
      <w:lvlJc w:val="left"/>
      <w:pPr>
        <w:ind w:left="25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62871E">
      <w:start w:val="1"/>
      <w:numFmt w:val="bullet"/>
      <w:lvlText w:val="o"/>
      <w:lvlJc w:val="left"/>
      <w:pPr>
        <w:ind w:left="3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D29EF6">
      <w:start w:val="1"/>
      <w:numFmt w:val="bullet"/>
      <w:lvlText w:val="▪"/>
      <w:lvlJc w:val="left"/>
      <w:pPr>
        <w:ind w:left="39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D4294E">
      <w:start w:val="1"/>
      <w:numFmt w:val="bullet"/>
      <w:lvlText w:val="•"/>
      <w:lvlJc w:val="left"/>
      <w:pPr>
        <w:ind w:left="46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EEE4DA">
      <w:start w:val="1"/>
      <w:numFmt w:val="bullet"/>
      <w:lvlText w:val="o"/>
      <w:lvlJc w:val="left"/>
      <w:pPr>
        <w:ind w:left="53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4CA378">
      <w:start w:val="1"/>
      <w:numFmt w:val="bullet"/>
      <w:lvlText w:val="▪"/>
      <w:lvlJc w:val="left"/>
      <w:pPr>
        <w:ind w:left="61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8270B3"/>
    <w:multiLevelType w:val="hybridMultilevel"/>
    <w:tmpl w:val="7FF4450A"/>
    <w:lvl w:ilvl="0" w:tplc="26608BCE">
      <w:start w:val="1"/>
      <w:numFmt w:val="bullet"/>
      <w:lvlText w:val="-"/>
      <w:lvlJc w:val="left"/>
      <w:pPr>
        <w:ind w:left="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CB3B8">
      <w:start w:val="1"/>
      <w:numFmt w:val="bullet"/>
      <w:lvlText w:val="o"/>
      <w:lvlJc w:val="left"/>
      <w:pPr>
        <w:ind w:left="12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061A2C">
      <w:start w:val="1"/>
      <w:numFmt w:val="bullet"/>
      <w:lvlText w:val="▪"/>
      <w:lvlJc w:val="left"/>
      <w:pPr>
        <w:ind w:left="19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2E3EE4">
      <w:start w:val="1"/>
      <w:numFmt w:val="bullet"/>
      <w:lvlText w:val="•"/>
      <w:lvlJc w:val="left"/>
      <w:pPr>
        <w:ind w:left="26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A7198">
      <w:start w:val="1"/>
      <w:numFmt w:val="bullet"/>
      <w:lvlText w:val="o"/>
      <w:lvlJc w:val="left"/>
      <w:pPr>
        <w:ind w:left="34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DAF65A">
      <w:start w:val="1"/>
      <w:numFmt w:val="bullet"/>
      <w:lvlText w:val="▪"/>
      <w:lvlJc w:val="left"/>
      <w:pPr>
        <w:ind w:left="41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6DBE2">
      <w:start w:val="1"/>
      <w:numFmt w:val="bullet"/>
      <w:lvlText w:val="•"/>
      <w:lvlJc w:val="left"/>
      <w:pPr>
        <w:ind w:left="48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D6B440">
      <w:start w:val="1"/>
      <w:numFmt w:val="bullet"/>
      <w:lvlText w:val="o"/>
      <w:lvlJc w:val="left"/>
      <w:pPr>
        <w:ind w:left="55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36BC96">
      <w:start w:val="1"/>
      <w:numFmt w:val="bullet"/>
      <w:lvlText w:val="▪"/>
      <w:lvlJc w:val="left"/>
      <w:pPr>
        <w:ind w:left="62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10365D"/>
    <w:multiLevelType w:val="hybridMultilevel"/>
    <w:tmpl w:val="BA4C8816"/>
    <w:lvl w:ilvl="0" w:tplc="40D22768">
      <w:start w:val="1"/>
      <w:numFmt w:val="bullet"/>
      <w:lvlText w:val="-"/>
      <w:lvlJc w:val="left"/>
      <w:pPr>
        <w:ind w:left="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523AFA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8425C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E8AA6A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E9808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5EEA22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CCAF7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D658FA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0EDD7A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4E0661"/>
    <w:multiLevelType w:val="hybridMultilevel"/>
    <w:tmpl w:val="BA2818F2"/>
    <w:lvl w:ilvl="0" w:tplc="538C932C">
      <w:start w:val="1"/>
      <w:numFmt w:val="bullet"/>
      <w:lvlText w:val="-"/>
      <w:lvlJc w:val="left"/>
      <w:pPr>
        <w:ind w:left="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BA8F94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322B2E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58AF2C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16D85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F63984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2CE636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40F08E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6651D4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02571"/>
    <w:multiLevelType w:val="hybridMultilevel"/>
    <w:tmpl w:val="B5480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94597"/>
    <w:multiLevelType w:val="hybridMultilevel"/>
    <w:tmpl w:val="07C6B024"/>
    <w:lvl w:ilvl="0" w:tplc="E8B29120">
      <w:start w:val="1"/>
      <w:numFmt w:val="bullet"/>
      <w:lvlText w:val="-"/>
      <w:lvlJc w:val="left"/>
      <w:pPr>
        <w:ind w:left="2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D6B048">
      <w:start w:val="1"/>
      <w:numFmt w:val="bullet"/>
      <w:lvlText w:val="o"/>
      <w:lvlJc w:val="left"/>
      <w:pPr>
        <w:ind w:left="11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0E4D90">
      <w:start w:val="1"/>
      <w:numFmt w:val="bullet"/>
      <w:lvlText w:val="▪"/>
      <w:lvlJc w:val="left"/>
      <w:pPr>
        <w:ind w:left="19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4EA150">
      <w:start w:val="1"/>
      <w:numFmt w:val="bullet"/>
      <w:lvlText w:val="•"/>
      <w:lvlJc w:val="left"/>
      <w:pPr>
        <w:ind w:left="2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F05B22">
      <w:start w:val="1"/>
      <w:numFmt w:val="bullet"/>
      <w:lvlText w:val="o"/>
      <w:lvlJc w:val="left"/>
      <w:pPr>
        <w:ind w:left="33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14DF60">
      <w:start w:val="1"/>
      <w:numFmt w:val="bullet"/>
      <w:lvlText w:val="▪"/>
      <w:lvlJc w:val="left"/>
      <w:pPr>
        <w:ind w:left="4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AACB42">
      <w:start w:val="1"/>
      <w:numFmt w:val="bullet"/>
      <w:lvlText w:val="•"/>
      <w:lvlJc w:val="left"/>
      <w:pPr>
        <w:ind w:left="4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90E9A8">
      <w:start w:val="1"/>
      <w:numFmt w:val="bullet"/>
      <w:lvlText w:val="o"/>
      <w:lvlJc w:val="left"/>
      <w:pPr>
        <w:ind w:left="5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8668E6">
      <w:start w:val="1"/>
      <w:numFmt w:val="bullet"/>
      <w:lvlText w:val="▪"/>
      <w:lvlJc w:val="left"/>
      <w:pPr>
        <w:ind w:left="6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4419506">
    <w:abstractNumId w:val="5"/>
  </w:num>
  <w:num w:numId="2" w16cid:durableId="563178087">
    <w:abstractNumId w:val="3"/>
  </w:num>
  <w:num w:numId="3" w16cid:durableId="258805333">
    <w:abstractNumId w:val="1"/>
  </w:num>
  <w:num w:numId="4" w16cid:durableId="727731953">
    <w:abstractNumId w:val="0"/>
  </w:num>
  <w:num w:numId="5" w16cid:durableId="1159542144">
    <w:abstractNumId w:val="2"/>
  </w:num>
  <w:num w:numId="6" w16cid:durableId="15050498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42"/>
    <w:rsid w:val="000272BC"/>
    <w:rsid w:val="000317C2"/>
    <w:rsid w:val="000F0825"/>
    <w:rsid w:val="00112D1F"/>
    <w:rsid w:val="001173D9"/>
    <w:rsid w:val="0012220A"/>
    <w:rsid w:val="00126520"/>
    <w:rsid w:val="001F417B"/>
    <w:rsid w:val="001F6739"/>
    <w:rsid w:val="0020471B"/>
    <w:rsid w:val="002816CC"/>
    <w:rsid w:val="002B5C76"/>
    <w:rsid w:val="002B6A8A"/>
    <w:rsid w:val="002F23DE"/>
    <w:rsid w:val="003404D7"/>
    <w:rsid w:val="00347414"/>
    <w:rsid w:val="00374A7E"/>
    <w:rsid w:val="003767AF"/>
    <w:rsid w:val="003D5390"/>
    <w:rsid w:val="003F551D"/>
    <w:rsid w:val="004147EC"/>
    <w:rsid w:val="0041521B"/>
    <w:rsid w:val="00473484"/>
    <w:rsid w:val="0048279E"/>
    <w:rsid w:val="00565082"/>
    <w:rsid w:val="005725B2"/>
    <w:rsid w:val="0058248E"/>
    <w:rsid w:val="005F23E0"/>
    <w:rsid w:val="006A26C1"/>
    <w:rsid w:val="006F0441"/>
    <w:rsid w:val="00735D4B"/>
    <w:rsid w:val="00763EC4"/>
    <w:rsid w:val="00772E51"/>
    <w:rsid w:val="00793F5D"/>
    <w:rsid w:val="007B21EA"/>
    <w:rsid w:val="007F1140"/>
    <w:rsid w:val="00862BA7"/>
    <w:rsid w:val="008B2F0E"/>
    <w:rsid w:val="008B7C27"/>
    <w:rsid w:val="008E467A"/>
    <w:rsid w:val="00900C23"/>
    <w:rsid w:val="009522F2"/>
    <w:rsid w:val="00970F6E"/>
    <w:rsid w:val="009914B5"/>
    <w:rsid w:val="009959EE"/>
    <w:rsid w:val="009B48C3"/>
    <w:rsid w:val="00A1056B"/>
    <w:rsid w:val="00A220A4"/>
    <w:rsid w:val="00AA578B"/>
    <w:rsid w:val="00AB2842"/>
    <w:rsid w:val="00AD2871"/>
    <w:rsid w:val="00B114F0"/>
    <w:rsid w:val="00B35F39"/>
    <w:rsid w:val="00B73C1C"/>
    <w:rsid w:val="00C44AF0"/>
    <w:rsid w:val="00C92264"/>
    <w:rsid w:val="00D23798"/>
    <w:rsid w:val="00D72CE1"/>
    <w:rsid w:val="00E00312"/>
    <w:rsid w:val="00E40F24"/>
    <w:rsid w:val="00EE69E7"/>
    <w:rsid w:val="00EF792B"/>
    <w:rsid w:val="00F26DAE"/>
    <w:rsid w:val="00F277D9"/>
    <w:rsid w:val="00F4469B"/>
    <w:rsid w:val="00F70241"/>
    <w:rsid w:val="00FA000F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F954"/>
  <w15:docId w15:val="{06F4F875-2F89-46E7-BE03-21A0E2B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842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2A2F4-3226-4DD8-9815-7DCD65B6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Paweł Wróblewski</cp:lastModifiedBy>
  <cp:revision>2</cp:revision>
  <dcterms:created xsi:type="dcterms:W3CDTF">2022-10-11T17:29:00Z</dcterms:created>
  <dcterms:modified xsi:type="dcterms:W3CDTF">2022-10-11T17:29:00Z</dcterms:modified>
</cp:coreProperties>
</file>